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shd w:val="clear" w:color="auto" w:fill="ffffff"/>
        <w:spacing w:after="100" w:afterAutospacing="1" w:line="240" w:lineRule="auto"/>
        <w:outlineLvl w:val="2"/>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Порядок проведения осмотра (консультации) врачом-урологом мужчин репродуктивного возраста</w:t>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Настоящими методическими рекомендациями устанавливается следующий алгоритм обследования мужчин в рамках диспансеризации взрослого населения репродуктивного возраста по оценке репродуктивного здоровья (далее - Д РЗ):</w:t>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1. В возрасте от 18 до 49 лет мужчинам на первом этапе ДОРЗ средним медицинским персоналом или иным медицинским работником выдается для заполнения </w:t>
      </w:r>
      <w:r>
        <w:rPr>
          <w:rFonts w:ascii="Times New Roman" w:hAnsi="Times New Roman" w:eastAsia="Times New Roman"/>
          <w:b/>
          <w:color w:val="212529"/>
          <w:sz w:val="24"/>
          <w:szCs w:val="24"/>
          <w:lang w:eastAsia="ru-RU"/>
        </w:rPr>
        <w:t xml:space="preserve">Анамнестическая анкета</w:t>
      </w:r>
      <w:r>
        <w:rPr>
          <w:rFonts w:ascii="Times New Roman" w:hAnsi="Times New Roman" w:eastAsia="Times New Roman"/>
          <w:color w:val="212529"/>
          <w:sz w:val="24"/>
          <w:szCs w:val="24"/>
          <w:lang w:eastAsia="ru-RU"/>
        </w:rPr>
        <w:t xml:space="preserve"> (</w:t>
      </w:r>
      <w:r>
        <w:rPr>
          <w:rFonts w:ascii="Times New Roman" w:hAnsi="Times New Roman" w:eastAsia="Times New Roman"/>
          <w:color w:val="212529"/>
          <w:sz w:val="24"/>
          <w:szCs w:val="24"/>
          <w:lang w:eastAsia="ru-RU"/>
        </w:rPr>
        <w:fldChar w:fldCharType="begin"/>
      </w:r>
      <w:r>
        <w:rPr>
          <w:rFonts w:ascii="Times New Roman" w:hAnsi="Times New Roman" w:eastAsia="Times New Roman"/>
          <w:color w:val="212529"/>
          <w:sz w:val="24"/>
          <w:szCs w:val="24"/>
          <w:lang w:eastAsia="ru-RU"/>
        </w:rPr>
        <w:instrText xml:space="preserve"> HYPERLINK "https://www.garant.ru/products/ipo/prime/doc/413725546/" \l "2100" </w:instrText>
      </w:r>
      <w:r>
        <w:rPr>
          <w:rFonts w:ascii="Times New Roman" w:hAnsi="Times New Roman" w:eastAsia="Times New Roman"/>
          <w:color w:val="212529"/>
          <w:sz w:val="24"/>
          <w:szCs w:val="24"/>
          <w:lang w:eastAsia="ru-RU"/>
        </w:rPr>
        <w:fldChar w:fldCharType="separate"/>
      </w:r>
      <w:r>
        <w:rPr>
          <w:rFonts w:ascii="Times New Roman" w:hAnsi="Times New Roman" w:eastAsia="Times New Roman"/>
          <w:color w:val="6c757d"/>
          <w:sz w:val="24"/>
          <w:szCs w:val="24"/>
          <w:u w:val="single"/>
          <w:lang w:eastAsia="ru-RU"/>
        </w:rPr>
        <w:t xml:space="preserve">Приложение 1</w:t>
      </w:r>
      <w:r>
        <w:rPr>
          <w:rFonts w:ascii="Times New Roman" w:hAnsi="Times New Roman" w:eastAsia="Times New Roman"/>
          <w:color w:val="212529"/>
          <w:sz w:val="24"/>
          <w:szCs w:val="24"/>
          <w:lang w:eastAsia="ru-RU"/>
        </w:rPr>
        <w:fldChar w:fldCharType="end"/>
      </w:r>
      <w:r>
        <w:rPr>
          <w:rFonts w:ascii="Times New Roman" w:hAnsi="Times New Roman" w:eastAsia="Times New Roman"/>
          <w:color w:val="212529"/>
          <w:sz w:val="24"/>
          <w:szCs w:val="24"/>
          <w:lang w:eastAsia="ru-RU"/>
        </w:rPr>
        <w:t xml:space="preserve">). </w:t>
      </w:r>
      <w:r>
        <w:rPr>
          <w:rFonts w:ascii="Times New Roman" w:hAnsi="Times New Roman" w:eastAsia="Times New Roman"/>
          <w:i/>
          <w:iCs/>
          <w:color w:val="212529"/>
          <w:sz w:val="24"/>
          <w:szCs w:val="24"/>
          <w:lang w:eastAsia="ru-RU"/>
        </w:rPr>
        <w:t xml:space="preserve">Примечание: анамнестическую анкету рекомендуется заполнять в электронном виде, позволяющем дальнейшую автоматизацию обработки и анализа.</w:t>
      </w:r>
      <w:r>
        <w:rPr>
          <w:rFonts w:ascii="Times New Roman" w:hAnsi="Times New Roman" w:eastAsia="Times New Roman"/>
          <w:color w:val="212529"/>
          <w:sz w:val="24"/>
          <w:szCs w:val="24"/>
          <w:lang w:eastAsia="ru-RU"/>
        </w:rPr>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2. Врачом-урологом / при его отсутствии врачом-хирургом, прошедшем подготовку по вопросам репродуктивного здоровья, у мужчин проводится </w:t>
      </w:r>
      <w:r>
        <w:rPr>
          <w:rFonts w:ascii="Times New Roman" w:hAnsi="Times New Roman" w:eastAsia="Times New Roman"/>
          <w:b/>
          <w:color w:val="212529"/>
          <w:sz w:val="24"/>
          <w:szCs w:val="24"/>
          <w:lang w:eastAsia="ru-RU"/>
        </w:rPr>
        <w:t xml:space="preserve">осмотр пациента</w:t>
      </w:r>
      <w:r>
        <w:rPr>
          <w:rFonts w:ascii="Times New Roman" w:hAnsi="Times New Roman" w:eastAsia="Times New Roman"/>
          <w:color w:val="212529"/>
          <w:sz w:val="24"/>
          <w:szCs w:val="24"/>
          <w:lang w:eastAsia="ru-RU"/>
        </w:rPr>
        <w:t xml:space="preserve">, оценка данных анамнестической анкеты, жалоб и клинико-анамнестических данных.</w:t>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3. При ответе "</w:t>
      </w:r>
      <w:r>
        <w:rPr>
          <w:rFonts w:ascii="Times New Roman" w:hAnsi="Times New Roman" w:eastAsia="Times New Roman"/>
          <w:b/>
          <w:color w:val="212529"/>
          <w:sz w:val="24"/>
          <w:szCs w:val="24"/>
          <w:lang w:eastAsia="ru-RU"/>
        </w:rPr>
        <w:t xml:space="preserve">Да"</w:t>
      </w:r>
      <w:r>
        <w:rPr>
          <w:rFonts w:ascii="Times New Roman" w:hAnsi="Times New Roman" w:eastAsia="Times New Roman"/>
          <w:color w:val="212529"/>
          <w:sz w:val="24"/>
          <w:szCs w:val="24"/>
          <w:lang w:eastAsia="ru-RU"/>
        </w:rPr>
        <w:t xml:space="preserve"> на вопросы Анамнестической анкеты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"2101"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 1</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"2103"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3-6</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"2111"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11</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"2114"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14-17</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"2119"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19-22</w:t>
      </w:r>
      <w:r>
        <w:rPr>
          <w:rFonts w:ascii="Times New Roman" w:hAnsi="Times New Roman" w:eastAsia="Times New Roman"/>
          <w:b/>
          <w:sz w:val="24"/>
          <w:szCs w:val="24"/>
          <w:lang w:eastAsia="ru-RU"/>
        </w:rPr>
        <w:fldChar w:fldCharType="end"/>
      </w:r>
      <w:r>
        <w:rPr>
          <w:rFonts w:ascii="Times New Roman" w:hAnsi="Times New Roman" w:eastAsia="Times New Roman"/>
          <w:color w:val="212529"/>
          <w:sz w:val="24"/>
          <w:szCs w:val="24"/>
          <w:lang w:eastAsia="ru-RU"/>
        </w:rPr>
        <w:t xml:space="preserve"> пациент направляется на второй этап ДОРЗ на базовое исследование качества спермы</w:t>
      </w:r>
      <w:r>
        <w:rPr>
          <w:rFonts w:ascii="Times New Roman" w:hAnsi="Times New Roman" w:eastAsia="Times New Roman"/>
          <w:color w:val="212529"/>
          <w:sz w:val="24"/>
          <w:szCs w:val="24"/>
          <w:vertAlign w:val="superscript"/>
          <w:lang w:eastAsia="ru-RU"/>
        </w:rPr>
        <w:fldChar w:fldCharType="begin"/>
      </w:r>
      <w:r>
        <w:rPr>
          <w:rFonts w:ascii="Times New Roman" w:hAnsi="Times New Roman" w:eastAsia="Times New Roman"/>
          <w:color w:val="212529"/>
          <w:sz w:val="24"/>
          <w:szCs w:val="24"/>
          <w:vertAlign w:val="superscript"/>
          <w:lang w:eastAsia="ru-RU"/>
        </w:rPr>
        <w:instrText xml:space="preserve"> HYPERLINK "https://www.garant.ru/products/ipo/prime/doc/413725546/" \l "20008" </w:instrText>
      </w:r>
      <w:r>
        <w:rPr>
          <w:rFonts w:ascii="Times New Roman" w:hAnsi="Times New Roman" w:eastAsia="Times New Roman"/>
          <w:color w:val="212529"/>
          <w:sz w:val="24"/>
          <w:szCs w:val="24"/>
          <w:vertAlign w:val="superscript"/>
          <w:lang w:eastAsia="ru-RU"/>
        </w:rPr>
        <w:fldChar w:fldCharType="separate"/>
      </w:r>
      <w:r>
        <w:rPr>
          <w:rFonts w:ascii="Times New Roman" w:hAnsi="Times New Roman" w:eastAsia="Times New Roman"/>
          <w:color w:val="6c757d"/>
          <w:sz w:val="24"/>
          <w:szCs w:val="24"/>
          <w:u w:val="single"/>
          <w:vertAlign w:val="superscript"/>
          <w:lang w:eastAsia="ru-RU"/>
        </w:rPr>
        <w:t xml:space="preserve">8</w:t>
      </w:r>
      <w:r>
        <w:rPr>
          <w:rFonts w:ascii="Times New Roman" w:hAnsi="Times New Roman" w:eastAsia="Times New Roman"/>
          <w:color w:val="212529"/>
          <w:sz w:val="24"/>
          <w:szCs w:val="24"/>
          <w:vertAlign w:val="superscript"/>
          <w:lang w:eastAsia="ru-RU"/>
        </w:rPr>
        <w:fldChar w:fldCharType="end"/>
      </w:r>
      <w:r>
        <w:rPr>
          <w:rFonts w:ascii="Times New Roman" w:hAnsi="Times New Roman" w:eastAsia="Times New Roman"/>
          <w:color w:val="212529"/>
          <w:sz w:val="24"/>
          <w:szCs w:val="24"/>
          <w:lang w:eastAsia="ru-RU"/>
        </w:rPr>
        <w:t xml:space="preserve"> (</w:t>
      </w:r>
      <w:r>
        <w:rPr>
          <w:rFonts w:ascii="Times New Roman" w:hAnsi="Times New Roman" w:eastAsia="Times New Roman"/>
          <w:b/>
          <w:color w:val="212529"/>
          <w:sz w:val="24"/>
          <w:szCs w:val="24"/>
          <w:lang w:eastAsia="ru-RU"/>
        </w:rPr>
        <w:t xml:space="preserve">спермограмму</w:t>
      </w:r>
      <w:r>
        <w:rPr>
          <w:rFonts w:ascii="Times New Roman" w:hAnsi="Times New Roman" w:eastAsia="Times New Roman"/>
          <w:color w:val="212529"/>
          <w:sz w:val="24"/>
          <w:szCs w:val="24"/>
          <w:lang w:eastAsia="ru-RU"/>
        </w:rPr>
        <w:t xml:space="preserve">)</w:t>
      </w:r>
      <w:r>
        <w:rPr>
          <w:rFonts w:ascii="Times New Roman" w:hAnsi="Times New Roman" w:eastAsia="Times New Roman"/>
          <w:color w:val="212529"/>
          <w:sz w:val="24"/>
          <w:szCs w:val="24"/>
          <w:vertAlign w:val="superscript"/>
          <w:lang w:eastAsia="ru-RU"/>
        </w:rPr>
        <w:fldChar w:fldCharType="begin"/>
      </w:r>
      <w:r>
        <w:rPr>
          <w:rFonts w:ascii="Times New Roman" w:hAnsi="Times New Roman" w:eastAsia="Times New Roman"/>
          <w:color w:val="212529"/>
          <w:sz w:val="24"/>
          <w:szCs w:val="24"/>
          <w:vertAlign w:val="superscript"/>
          <w:lang w:eastAsia="ru-RU"/>
        </w:rPr>
        <w:instrText xml:space="preserve"> HYPERLINK "https://www.garant.ru/products/ipo/prime/doc/413725546/" \l "20009" </w:instrText>
      </w:r>
      <w:r>
        <w:rPr>
          <w:rFonts w:ascii="Times New Roman" w:hAnsi="Times New Roman" w:eastAsia="Times New Roman"/>
          <w:color w:val="212529"/>
          <w:sz w:val="24"/>
          <w:szCs w:val="24"/>
          <w:vertAlign w:val="superscript"/>
          <w:lang w:eastAsia="ru-RU"/>
        </w:rPr>
        <w:fldChar w:fldCharType="separate"/>
      </w:r>
      <w:r>
        <w:rPr>
          <w:rFonts w:ascii="Times New Roman" w:hAnsi="Times New Roman" w:eastAsia="Times New Roman"/>
          <w:color w:val="6c757d"/>
          <w:sz w:val="24"/>
          <w:szCs w:val="24"/>
          <w:u w:val="single"/>
          <w:vertAlign w:val="superscript"/>
          <w:lang w:eastAsia="ru-RU"/>
        </w:rPr>
        <w:t xml:space="preserve">9</w:t>
      </w:r>
      <w:r>
        <w:rPr>
          <w:rFonts w:ascii="Times New Roman" w:hAnsi="Times New Roman" w:eastAsia="Times New Roman"/>
          <w:color w:val="212529"/>
          <w:sz w:val="24"/>
          <w:szCs w:val="24"/>
          <w:vertAlign w:val="superscript"/>
          <w:lang w:eastAsia="ru-RU"/>
        </w:rPr>
        <w:fldChar w:fldCharType="end"/>
      </w:r>
      <w:r>
        <w:rPr>
          <w:rFonts w:ascii="Times New Roman" w:hAnsi="Times New Roman" w:eastAsia="Times New Roman"/>
          <w:color w:val="212529"/>
          <w:sz w:val="24"/>
          <w:szCs w:val="24"/>
          <w:lang w:eastAsia="ru-RU"/>
        </w:rPr>
        <w:t xml:space="preserve"> с последующей консультацией </w:t>
      </w:r>
      <w:r>
        <w:rPr>
          <w:rFonts w:ascii="Times New Roman" w:hAnsi="Times New Roman" w:eastAsia="Times New Roman"/>
          <w:b/>
          <w:color w:val="212529"/>
          <w:sz w:val="24"/>
          <w:szCs w:val="24"/>
          <w:lang w:eastAsia="ru-RU"/>
        </w:rPr>
        <w:t xml:space="preserve">врача-уролога</w:t>
      </w:r>
      <w:r>
        <w:rPr>
          <w:rFonts w:ascii="Times New Roman" w:hAnsi="Times New Roman" w:eastAsia="Times New Roman"/>
          <w:color w:val="212529"/>
          <w:sz w:val="24"/>
          <w:szCs w:val="24"/>
          <w:lang w:eastAsia="ru-RU"/>
        </w:rPr>
        <w:t xml:space="preserve">.</w:t>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4. При ответе "</w:t>
      </w:r>
      <w:r>
        <w:rPr>
          <w:rFonts w:ascii="Times New Roman" w:hAnsi="Times New Roman" w:eastAsia="Times New Roman"/>
          <w:b/>
          <w:color w:val="212529"/>
          <w:sz w:val="24"/>
          <w:szCs w:val="24"/>
          <w:lang w:eastAsia="ru-RU"/>
        </w:rPr>
        <w:t xml:space="preserve">Да"</w:t>
      </w:r>
      <w:r>
        <w:rPr>
          <w:rFonts w:ascii="Times New Roman" w:hAnsi="Times New Roman" w:eastAsia="Times New Roman"/>
          <w:color w:val="212529"/>
          <w:sz w:val="24"/>
          <w:szCs w:val="24"/>
          <w:lang w:eastAsia="ru-RU"/>
        </w:rPr>
        <w:t xml:space="preserve"> на вопросы Анамнестической анкеты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"2103"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 3</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"2107"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7</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"2109"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9</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"2110"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10</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"2115"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15-17</w:t>
      </w:r>
      <w:r>
        <w:rPr>
          <w:rFonts w:ascii="Times New Roman" w:hAnsi="Times New Roman" w:eastAsia="Times New Roman"/>
          <w:b/>
          <w:sz w:val="24"/>
          <w:szCs w:val="24"/>
          <w:lang w:eastAsia="ru-RU"/>
        </w:rPr>
        <w:fldChar w:fldCharType="end"/>
      </w:r>
      <w:r>
        <w:rPr>
          <w:rFonts w:ascii="Times New Roman" w:hAnsi="Times New Roman" w:eastAsia="Times New Roman"/>
          <w:color w:val="212529"/>
          <w:sz w:val="24"/>
          <w:szCs w:val="24"/>
          <w:lang w:eastAsia="ru-RU"/>
        </w:rPr>
        <w:t xml:space="preserve"> пациент направляется на второй этап ДОРЗ на </w:t>
      </w:r>
      <w:r>
        <w:rPr>
          <w:rFonts w:ascii="Times New Roman" w:hAnsi="Times New Roman" w:eastAsia="Times New Roman"/>
          <w:b/>
          <w:color w:val="212529"/>
          <w:sz w:val="24"/>
          <w:szCs w:val="24"/>
          <w:lang w:eastAsia="ru-RU"/>
        </w:rPr>
        <w:t xml:space="preserve">микроскопическое исследование отделяемого мочеполовых органов</w:t>
      </w:r>
      <w:r>
        <w:rPr>
          <w:rFonts w:ascii="Times New Roman" w:hAnsi="Times New Roman" w:eastAsia="Times New Roman"/>
          <w:color w:val="212529"/>
          <w:sz w:val="24"/>
          <w:szCs w:val="24"/>
          <w:lang w:eastAsia="ru-RU"/>
        </w:rPr>
        <w:t xml:space="preserve"> (мочи, уретрального отделяемого, секрета предстательной железы, семенной жидкости), диагностику </w:t>
      </w:r>
      <w:r>
        <w:rPr>
          <w:rFonts w:ascii="Times New Roman" w:hAnsi="Times New Roman" w:eastAsia="Times New Roman"/>
          <w:b/>
          <w:color w:val="212529"/>
          <w:sz w:val="24"/>
          <w:szCs w:val="24"/>
          <w:lang w:eastAsia="ru-RU"/>
        </w:rPr>
        <w:t xml:space="preserve">возбудителей инфекционных заболеваний</w:t>
      </w:r>
      <w:r>
        <w:rPr>
          <w:rFonts w:ascii="Times New Roman" w:hAnsi="Times New Roman" w:eastAsia="Times New Roman"/>
          <w:color w:val="212529"/>
          <w:sz w:val="24"/>
          <w:szCs w:val="24"/>
          <w:lang w:eastAsia="ru-RU"/>
        </w:rPr>
        <w:t xml:space="preserve"> органов малого таза методом полимеразной цепной реакции с последующей консультацией врача-уролога.</w:t>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5. При ответе "</w:t>
      </w:r>
      <w:r>
        <w:rPr>
          <w:rFonts w:ascii="Times New Roman" w:hAnsi="Times New Roman" w:eastAsia="Times New Roman"/>
          <w:b/>
          <w:color w:val="212529"/>
          <w:sz w:val="24"/>
          <w:szCs w:val="24"/>
          <w:lang w:eastAsia="ru-RU"/>
        </w:rPr>
        <w:t xml:space="preserve">Да</w:t>
      </w:r>
      <w:r>
        <w:rPr>
          <w:rFonts w:ascii="Times New Roman" w:hAnsi="Times New Roman" w:eastAsia="Times New Roman"/>
          <w:color w:val="212529"/>
          <w:sz w:val="24"/>
          <w:szCs w:val="24"/>
          <w:lang w:eastAsia="ru-RU"/>
        </w:rPr>
        <w:t xml:space="preserve">" на вопросы Анамнестической анкеты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"2105"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 5</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"2107"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7-10</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"2111"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11</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b/>
          <w:sz w:val="24"/>
          <w:szCs w:val="24"/>
          <w:lang w:eastAsia="ru-RU"/>
        </w:rPr>
        <w:fldChar w:fldCharType="begin"/>
      </w:r>
      <w:r>
        <w:rPr>
          <w:rFonts w:ascii="Times New Roman" w:hAnsi="Times New Roman" w:eastAsia="Times New Roman"/>
          <w:b/>
          <w:sz w:val="24"/>
          <w:szCs w:val="24"/>
          <w:lang w:eastAsia="ru-RU"/>
        </w:rPr>
        <w:instrText xml:space="preserve"> HYPERLINK "https://www.garant.ru/products/ipo/prime/doc/413725546/" \l "2114" </w:instrText>
      </w:r>
      <w:r>
        <w:rPr>
          <w:rFonts w:ascii="Times New Roman" w:hAnsi="Times New Roman" w:eastAsia="Times New Roman"/>
          <w:b/>
          <w:sz w:val="24"/>
          <w:szCs w:val="24"/>
          <w:lang w:eastAsia="ru-RU"/>
        </w:rPr>
        <w:fldChar w:fldCharType="separate"/>
      </w:r>
      <w:r>
        <w:rPr>
          <w:rFonts w:ascii="Times New Roman" w:hAnsi="Times New Roman" w:eastAsia="Times New Roman"/>
          <w:b/>
          <w:sz w:val="24"/>
          <w:szCs w:val="24"/>
          <w:u w:val="single"/>
          <w:lang w:eastAsia="ru-RU"/>
        </w:rPr>
        <w:t xml:space="preserve">14-19</w:t>
      </w:r>
      <w:r>
        <w:rPr>
          <w:rFonts w:ascii="Times New Roman" w:hAnsi="Times New Roman" w:eastAsia="Times New Roman"/>
          <w:b/>
          <w:sz w:val="24"/>
          <w:szCs w:val="24"/>
          <w:lang w:eastAsia="ru-RU"/>
        </w:rPr>
        <w:fldChar w:fldCharType="end"/>
      </w:r>
      <w:r>
        <w:rPr>
          <w:rFonts w:ascii="Times New Roman" w:hAnsi="Times New Roman" w:eastAsia="Times New Roman"/>
          <w:b/>
          <w:sz w:val="24"/>
          <w:szCs w:val="24"/>
          <w:lang w:eastAsia="ru-RU"/>
        </w:rPr>
        <w:t xml:space="preserve"> </w:t>
      </w:r>
      <w:r>
        <w:rPr>
          <w:rFonts w:ascii="Times New Roman" w:hAnsi="Times New Roman" w:eastAsia="Times New Roman"/>
          <w:color w:val="212529"/>
          <w:sz w:val="24"/>
          <w:szCs w:val="24"/>
          <w:lang w:eastAsia="ru-RU"/>
        </w:rPr>
        <w:t xml:space="preserve">пациент направляется на второй этап ДОРЗ на </w:t>
      </w:r>
      <w:r>
        <w:rPr>
          <w:rFonts w:ascii="Times New Roman" w:hAnsi="Times New Roman" w:eastAsia="Times New Roman"/>
          <w:b/>
          <w:color w:val="212529"/>
          <w:sz w:val="24"/>
          <w:szCs w:val="24"/>
          <w:lang w:eastAsia="ru-RU"/>
        </w:rPr>
        <w:t xml:space="preserve">ультразвуковое исследование предстательной железы и органов мошонки</w:t>
      </w:r>
      <w:r>
        <w:rPr>
          <w:rFonts w:ascii="Times New Roman" w:hAnsi="Times New Roman" w:eastAsia="Times New Roman"/>
          <w:color w:val="212529"/>
          <w:sz w:val="24"/>
          <w:szCs w:val="24"/>
          <w:lang w:eastAsia="ru-RU"/>
        </w:rPr>
        <w:t xml:space="preserve"> с последующей консультацией врача-уролога.</w:t>
      </w:r>
    </w:p>
    <w:p>
      <w:pPr>
        <w:pStyle w:val="Normal"/>
        <w:shd w:val="clear" w:color="auto" w:fill="ffffff"/>
        <w:spacing w:after="100" w:afterAutospacing="1" w:line="240" w:lineRule="auto"/>
        <w:rPr>
          <w:rFonts w:ascii="Times New Roman" w:hAnsi="Times New Roman" w:eastAsia="Times New Roman"/>
          <w:color w:val="212529"/>
          <w:sz w:val="24"/>
          <w:szCs w:val="24"/>
          <w:lang w:eastAsia="ru-RU"/>
        </w:rPr>
      </w:pPr>
      <w:r>
        <w:rPr>
          <w:rFonts w:ascii="Times New Roman" w:hAnsi="Times New Roman" w:eastAsia="Times New Roman"/>
          <w:color w:val="212529"/>
          <w:sz w:val="24"/>
          <w:szCs w:val="24"/>
          <w:lang w:eastAsia="ru-RU"/>
        </w:rPr>
        <w:t xml:space="preserve">6. В случае, если у врача-уролога / при </w:t>
      </w:r>
      <w:r>
        <w:rPr>
          <w:rFonts w:ascii="Times New Roman" w:hAnsi="Times New Roman" w:eastAsia="Times New Roman"/>
          <w:color w:val="212529"/>
          <w:sz w:val="24"/>
          <w:szCs w:val="24"/>
          <w:lang w:eastAsia="ru-RU"/>
        </w:rPr>
        <w:t xml:space="preserve">отсутствии врача-хирурга, прошедшего подготовку по вопросам репродуктивного здоровья, у мужчин на первом этапе ДОРЗ во время осмотра и сбора анамнеза возникает предположение о наличии заболеваний или состояний, не упомянутых в анамнестической анкете, он также направляет пациента на спермограмму, микроскопическое исследование отделяемого мочеполовых органов (мочи, уретрального отделяемого, секрета предстательной железы, семенной жидкости), диагностику возбудителей инфекционных заболеваний органов малого таза методом полимеразной цепной реакции анализ, ультразвуковое исследование предстательной железы и органов мошонки в рамках второго этапа ДОРЗ, либо на иные диагностические исследования вне рамок ДОРЗ в соответствии с существующими порядками оказания медицинской помощи, клиническими рекомендациями и стандартами оказания медицинской помощи.</w:t>
      </w:r>
    </w:p>
    <w:p>
      <w:pPr>
        <w:pStyle w:val="Normal"/>
        <w:rPr>
          <w:rFonts w:ascii="Times New Roman" w:hAnsi="Times New Roman"/>
          <w:sz w:val="24"/>
          <w:szCs w:val="24"/>
        </w:rPr>
      </w:pPr>
      <w:r>
        <w:rPr>
          <w:rFonts w:ascii="Times New Roman" w:hAnsi="Times New Roman"/>
          <w:sz w:val="24"/>
          <w:szCs w:val="24"/>
        </w:rPr>
      </w:r>
    </w:p>
    <w:p>
      <w:pPr>
        <w:pStyle w:val="Normal"/>
        <w:shd w:val="clear" w:color="auto" w:fill="ffffff"/>
        <w:spacing w:after="100" w:afterAutospacing="1" w:line="240" w:lineRule="auto"/>
        <w:outlineLvl w:val="2"/>
        <w:rPr>
          <w:rFonts w:ascii="Segoe UI" w:hAnsi="Segoe UI" w:eastAsia="Times New Roman" w:cs="Segoe UI"/>
          <w:color w:val="212529"/>
          <w:sz w:val="27"/>
          <w:szCs w:val="27"/>
          <w:lang w:eastAsia="ru-RU"/>
        </w:rPr>
      </w:pPr>
      <w:r>
        <w:rPr>
          <w:rFonts w:ascii="Segoe UI" w:hAnsi="Segoe UI" w:eastAsia="Times New Roman" w:cs="Segoe UI"/>
          <w:color w:val="212529"/>
          <w:sz w:val="27"/>
          <w:szCs w:val="27"/>
          <w:lang w:eastAsia="ru-RU"/>
        </w:rPr>
        <w:t xml:space="preserve">Анамнестическая анкета для оценки риска нарушений репродуктивного здоровья для мужчин 18-49 лет</w:t>
      </w:r>
    </w:p>
    <w:tbl>
      <w:tblPr>
        <w:tblW w:w="9796" w:type="dxa"/>
        <w:tblInd w:w="0" w:type="dxa"/>
        <w:tblLayout w:type="fixed"/>
        <w:tblCellMar>
          <w:left w:w="15" w:type="dxa"/>
          <w:top w:w="15" w:type="dxa"/>
          <w:right w:w="15" w:type="dxa"/>
          <w:bottom w:w="15" w:type="dxa"/>
        </w:tblCellMar>
        <w:tblLook w:val="04A0" w:firstRow="1" w:lastRow="0" w:firstColumn="1" w:lastColumn="0" w:noHBand="0" w:noVBand="1"/>
      </w:tblPr>
      <w:tblGrid>
        <w:gridCol w:w="527"/>
        <w:gridCol w:w="7852"/>
        <w:gridCol w:w="567"/>
        <w:gridCol w:w="850"/>
      </w:tblGrid>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jc w:val="center"/>
              <w:rPr>
                <w:rFonts w:ascii="Times New Roman" w:hAnsi="Times New Roman" w:eastAsia="Times New Roman"/>
                <w:b/>
                <w:bCs/>
                <w:color w:val="000000"/>
                <w:sz w:val="24"/>
                <w:szCs w:val="24"/>
                <w:lang w:eastAsia="ru-RU"/>
              </w:rPr>
            </w:pPr>
            <w:r>
              <w:rPr>
                <w:rFonts w:ascii="Times New Roman" w:hAnsi="Times New Roman" w:eastAsia="Times New Roman"/>
                <w:b/>
                <w:bCs/>
                <w:color w:val="000000"/>
                <w:sz w:val="24"/>
                <w:szCs w:val="24"/>
                <w:lang w:eastAsia="ru-RU"/>
              </w:rPr>
              <w:t xml:space="preserve">№ п/п</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jc w:val="center"/>
              <w:rPr>
                <w:rFonts w:ascii="Times New Roman" w:hAnsi="Times New Roman" w:eastAsia="Times New Roman"/>
                <w:b/>
                <w:bCs/>
                <w:color w:val="000000"/>
                <w:sz w:val="24"/>
                <w:szCs w:val="24"/>
                <w:lang w:eastAsia="ru-RU"/>
              </w:rPr>
            </w:pPr>
            <w:r>
              <w:rPr>
                <w:rFonts w:ascii="Times New Roman" w:hAnsi="Times New Roman" w:eastAsia="Times New Roman"/>
                <w:b/>
                <w:bCs/>
                <w:color w:val="000000"/>
                <w:sz w:val="24"/>
                <w:szCs w:val="24"/>
                <w:lang w:eastAsia="ru-RU"/>
              </w:rPr>
              <w:t xml:space="preserve">Вопрос</w:t>
            </w:r>
          </w:p>
        </w:tc>
        <w:tc>
          <w:tcPr>
            <w:tcW w:w="1417" w:type="dxa"/>
            <w:gridSpan w:val="2"/>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jc w:val="center"/>
              <w:rPr>
                <w:rFonts w:ascii="Times New Roman" w:hAnsi="Times New Roman" w:eastAsia="Times New Roman"/>
                <w:b/>
                <w:bCs/>
                <w:color w:val="000000"/>
                <w:sz w:val="24"/>
                <w:szCs w:val="24"/>
                <w:lang w:eastAsia="ru-RU"/>
              </w:rPr>
            </w:pPr>
            <w:r>
              <w:rPr>
                <w:rFonts w:ascii="Times New Roman" w:hAnsi="Times New Roman" w:eastAsia="Times New Roman"/>
                <w:b/>
                <w:bCs/>
                <w:color w:val="000000"/>
                <w:sz w:val="24"/>
                <w:szCs w:val="24"/>
                <w:lang w:eastAsia="ru-RU"/>
              </w:rPr>
              <w:t xml:space="preserve">Ответ</w:t>
            </w:r>
          </w:p>
        </w:tc>
      </w:tr>
      <w:tr>
        <w:trPr/>
        <w:tc>
          <w:tcPr>
            <w:tcW w:w="9796" w:type="dxa"/>
            <w:gridSpan w:val="4"/>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Поведенческие факторы риска:</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Посещаете ли вы регулярно бани, сауны и другие места с повышенной температурой окружающей среды?</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9796" w:type="dxa"/>
            <w:gridSpan w:val="4"/>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Репродуктивная функция</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Возраст начала половой жизни (полных лет)?</w:t>
            </w:r>
          </w:p>
        </w:tc>
        <w:tc>
          <w:tcPr>
            <w:tcW w:w="1417" w:type="dxa"/>
            <w:gridSpan w:val="2"/>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Были ли у вас в течение последних 12 месяцев половые контакты без использования презерватива?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Планируете ли Вы с супругой (партнёршей) зачатие ребенка в течение ближайших 12 месяцев?</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Было ли так. что у партнерши не наступала беременность более чем через 12 месяцев регулярной половой жизни без предохранения?</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6.</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Наступали ли у Ваших половых партнерш замершие беременности или самопроизвольные аборты?</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9796" w:type="dxa"/>
            <w:gridSpan w:val="4"/>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Другие жалобы</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7.</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Учащенное, болезненное или затрудненное мочеиспускание, выделения из мочеиспускательного канала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8.</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Регулярная, не связанная с приемом большого количества жидкости необходимость просыпаться ночью, чтобы помочиться</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9.</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Боли внизу живота (в промежности, в области мошонки, в половом члене)</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Беспокоящие состояния со стороны половых органов (изменение формы, высыпания, отделяемое из мочеиспускательного канала)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9796" w:type="dxa"/>
            <w:gridSpan w:val="4"/>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Перенесенные урологические заболевания</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11.</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Крипторхизм</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12.</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Гипоспадия</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13.</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Фимоз</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14.</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Кисты или опухоли яичек или придатков яичка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15.</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Простатит</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16.</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Эпидидимит</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17.</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Инфекции, передаваемые половым путем</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18.</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Перенесенные урологические операции</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19.</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Эпидемический паротит (свинка)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9796" w:type="dxa"/>
            <w:gridSpan w:val="4"/>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Перенесенные заболевания других органов:</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20.</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Аутоиммунные или ревматические заболевания, требующие приема глюкокортикоидов и/или цитостатиков</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21.</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Онкологические заболевания любой локализации, требующие химио- или лучевой терапии</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22.</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Сахарный диабет I или II типа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23.</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Заболевания других органов и систем (сердца и сосудов, легких, желудочно-кишечного тракта, почек, мочевого пузыря, щитовидной железы, нервной системы, аллергические состояния)</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нет</w:t>
            </w:r>
          </w:p>
        </w:tc>
      </w:tr>
      <w:tr>
        <w:trPr/>
        <w:tc>
          <w:tcPr>
            <w:tcW w:w="9796" w:type="dxa"/>
            <w:gridSpan w:val="4"/>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Репродуктивные установки</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24.</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Сколько у Вас детей?</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25.</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Если у Вас есть дети, укажите возраст младшего ребенка. Если ребенку менее 1 года, то укажите 0.</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r>
      <w:tr>
        <w:trPr/>
        <w:tc>
          <w:tcPr>
            <w:tcW w:w="52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26.</w:t>
            </w:r>
          </w:p>
        </w:tc>
        <w:tc>
          <w:tcPr>
            <w:tcW w:w="7852"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Сколько детей Вы хотели бы иметь (с учетом имеющихся), учитывая Ваши текущие жизненные обстоятельства?</w:t>
            </w:r>
          </w:p>
        </w:tc>
        <w:tc>
          <w:tcPr>
            <w:tcW w:w="567"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c>
          <w:tcPr>
            <w:tcW w:w="850" w:type="dxa"/>
            <w:tcBorders>
              <w:top w:val="single" w:color="000000" w:sz="2" w:space="0"/>
              <w:left w:val="single" w:color="000000" w:sz="4" w:space="0"/>
              <w:bottom w:val="single" w:color="000000" w:sz="2" w:space="0"/>
              <w:right w:val="single" w:color="000000" w:sz="4" w:space="0"/>
            </w:tcBorders>
            <w:shd w:val="clear" w:color="auto" w:fill="ffffff"/>
            <w:textDirection w:val="lrTb"/>
            <w:vAlign w:val="top"/>
          </w:tcPr>
          <w:p>
            <w:pPr>
              <w:pStyle w:val="Normal"/>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p>
        </w:tc>
      </w:tr>
    </w:tbl>
    <w:sectPr>
      <w:type w:val="nextPag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font>
  <w:font w:name="Times New Roman">
    <w:panose1 w:val="020206030504050203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200" w:line="276" w:lineRule="auto"/>
    </w:pPr>
    <w:rPr>
      <w:sz w:val="22"/>
      <w:szCs w:val="22"/>
      <w:lang w:val="ru-RU" w:eastAsia="en-US" w:bidi="ar-SA"/>
    </w:rPr>
  </w:style>
  <w:style w:type="paragraph" w:styleId="Heading3">
    <w:name w:val="Заголовок 3"/>
    <w:basedOn w:val="Normal"/>
    <w:next w:val="Heading3"/>
    <w:link w:val="UserStyle_0"/>
    <w:uiPriority w:val="9"/>
    <w:qFormat/>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style>
  <w:style w:type="numbering" w:styleId="NormalList">
    <w:name w:val="Нет списка"/>
    <w:next w:val="NormalList"/>
    <w:link w:val="Normal"/>
    <w:uiPriority w:val="99"/>
    <w:semiHidden/>
    <w:unhideWhenUsed/>
  </w:style>
  <w:style w:type="character" w:styleId="UserStyle_0">
    <w:name w:val="Заголовок 3 Знак"/>
    <w:next w:val="UserStyle_0"/>
    <w:link w:val="Heading3"/>
    <w:uiPriority w:val="9"/>
    <w:rPr>
      <w:rFonts w:ascii="Times New Roman" w:hAnsi="Times New Roman" w:eastAsia="Times New Roman" w:cs="Times New Roman"/>
      <w:b/>
      <w:bCs/>
      <w:sz w:val="27"/>
      <w:szCs w:val="27"/>
      <w:lang w:eastAsia="ru-RU"/>
    </w:rPr>
  </w:style>
  <w:style w:type="paragraph" w:styleId="HtmlNormal">
    <w:name w:val="Обычный (веб)"/>
    <w:basedOn w:val="Normal"/>
    <w:next w:val="HtmlNormal"/>
    <w:link w:val="Normal"/>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Hyperlink">
    <w:name w:val="Гиперссылка"/>
    <w:next w:val="Hyperlink"/>
    <w:link w:val="Normal"/>
    <w:uiPriority w:val="99"/>
    <w:semiHidden/>
    <w:unhideWhenUsed/>
    <w:rPr>
      <w:color w:val="0000ff"/>
      <w:u w:val="singl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Р7-Офис/2026.1.2.1942</Application>
  <Characters>5404</Characters>
  <CharactersWithSpaces>6340</CharactersWithSpaces>
  <DocSecurity>0</DocSecurity>
  <HiddenSlides>0</HiddenSlides>
  <HyperlinksChanged>false</HyperlinksChanged>
  <Lines>45</Lines>
  <MMClips>0</MMClips>
  <Notes>0</Notes>
  <Pages>2</Pages>
  <Paragraphs>12</Paragraphs>
  <ScaleCrop>false</ScaleCrop>
  <SharedDoc>false</SharedDoc>
  <Slides>0</Slides>
  <Template>Normal</Template>
  <Words>948</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 Подшивалова</dc:creator>
  <cp:lastModifiedBy>belyaeva</cp:lastModifiedBy>
  <cp:revision>2</cp:revision>
  <dcterms:created xsi:type="dcterms:W3CDTF">2026-04-13T14:22:00Z</dcterms:created>
  <dcterms:modified xsi:type="dcterms:W3CDTF">2026-04-13T14:30:00Z</dcterms:modified>
  <cp:version>917504</cp:version>
</cp:coreProperties>
</file>